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72D" w:rsidRPr="006A2621" w:rsidRDefault="006A2621" w:rsidP="00DA772D">
      <w:pPr>
        <w:spacing w:after="0"/>
        <w:ind w:left="567"/>
        <w:jc w:val="center"/>
        <w:rPr>
          <w:rFonts w:ascii="Times New Roman" w:hAnsi="Times New Roman" w:cs="Times New Roman"/>
          <w:b/>
          <w:sz w:val="20"/>
          <w:szCs w:val="20"/>
        </w:rPr>
      </w:pPr>
      <w:r w:rsidRPr="006A2621">
        <w:rPr>
          <w:rFonts w:ascii="Times New Roman" w:hAnsi="Times New Roman" w:cs="Times New Roman"/>
          <w:b/>
          <w:sz w:val="20"/>
          <w:szCs w:val="20"/>
        </w:rPr>
        <w:t xml:space="preserve">ОТЧЕТ </w:t>
      </w:r>
      <w:r w:rsidR="00DA772D" w:rsidRPr="006A2621">
        <w:rPr>
          <w:rFonts w:ascii="Times New Roman" w:hAnsi="Times New Roman" w:cs="Times New Roman"/>
          <w:b/>
          <w:sz w:val="20"/>
          <w:szCs w:val="20"/>
        </w:rPr>
        <w:t>ОБ ИТОГАХ ГОЛОСОВАНИЯ</w:t>
      </w:r>
    </w:p>
    <w:p w:rsidR="00DA772D" w:rsidRPr="006A2621" w:rsidRDefault="00DA772D" w:rsidP="00DA772D">
      <w:pPr>
        <w:spacing w:after="0"/>
        <w:ind w:left="567"/>
        <w:jc w:val="center"/>
        <w:rPr>
          <w:rFonts w:ascii="Times New Roman" w:hAnsi="Times New Roman" w:cs="Times New Roman"/>
          <w:b/>
          <w:sz w:val="20"/>
          <w:szCs w:val="20"/>
        </w:rPr>
      </w:pPr>
      <w:r w:rsidRPr="006A2621">
        <w:rPr>
          <w:rFonts w:ascii="Times New Roman" w:hAnsi="Times New Roman" w:cs="Times New Roman"/>
          <w:b/>
          <w:sz w:val="20"/>
          <w:szCs w:val="20"/>
        </w:rPr>
        <w:t>НА ОБЩЕМ СОБРАНИИ АКЦИОНЕРОВ</w:t>
      </w:r>
    </w:p>
    <w:p w:rsidR="00DA772D" w:rsidRPr="006A2621" w:rsidRDefault="00DA772D" w:rsidP="00DA772D">
      <w:pPr>
        <w:spacing w:after="0"/>
        <w:ind w:left="567"/>
        <w:jc w:val="center"/>
        <w:rPr>
          <w:rFonts w:ascii="Times New Roman" w:hAnsi="Times New Roman" w:cs="Times New Roman"/>
          <w:b/>
          <w:sz w:val="20"/>
          <w:szCs w:val="20"/>
        </w:rPr>
      </w:pPr>
      <w:r w:rsidRPr="006A2621">
        <w:rPr>
          <w:rFonts w:ascii="Times New Roman" w:hAnsi="Times New Roman" w:cs="Times New Roman"/>
          <w:b/>
          <w:sz w:val="20"/>
          <w:szCs w:val="20"/>
        </w:rPr>
        <w:t>Акционерного общества «Московско-Медынское агропромышленное предприятие»</w:t>
      </w:r>
    </w:p>
    <w:tbl>
      <w:tblPr>
        <w:tblW w:w="4791" w:type="pct"/>
        <w:tblInd w:w="6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5771"/>
        <w:gridCol w:w="4535"/>
      </w:tblGrid>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Полное фирменное наименование (далее - общество):</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Акционерное общество "Московско-Медынское агропромышленное предприятие"</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Место нахождения и адрес общества:</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249950, обл. Калужская, р-н Медынский, г. Медынь, ул. Карла Либкнехта, д.133</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Вид общего собрания акционеров (далее - общее собрание):</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Внеочередное</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Форма проведения общего собрания:</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Заочное голосование</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Дата определения (фиксации) лиц, имевших право на участие в общем собрании:</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04 февраля 2025 года</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Дата проведения общего собрания (дата окончания приема бюллетеней):</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28 февраля 2025 года</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Почтовый адрес (адреса), адрес (адреса) электронной почты, по которым направлялись (могли направляться) заполненные бюллетени для голосования:</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248001, Калужская обл., г. Калуга, ул. Суворова, д. 121, офис 609, почтовый ящик 56, АО «НРК-Р.О.С.Т.», счетная комиссия.</w:t>
            </w:r>
          </w:p>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Адрес (адреса) электронной почты: не применимо.</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Полное фирменное наименование, место нахождения и адрес регистратора, выполнявшего функции счетной комиссии (далее - регистратор):</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Акционерное общество «Независимая регистраторская компания Р.О.С.Т.»; г. Москва; 107076, г. Москва, ул. Стромынка, д. 18, корп. 5Б, помещение IX</w:t>
            </w:r>
          </w:p>
        </w:tc>
      </w:tr>
      <w:tr w:rsidR="00DA772D" w:rsidRPr="006A2621" w:rsidTr="00DA772D">
        <w:tc>
          <w:tcPr>
            <w:tcW w:w="5771"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Уполномоченное лицо регистратора:</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Овчинникова Юлия Григорьевна по доверенности № 447 от 28.12.2023</w:t>
            </w:r>
          </w:p>
        </w:tc>
      </w:tr>
      <w:tr w:rsidR="00DA772D" w:rsidRPr="006A2621" w:rsidTr="00DA772D">
        <w:tc>
          <w:tcPr>
            <w:tcW w:w="5771" w:type="dxa"/>
            <w:shd w:val="clear" w:color="auto" w:fill="auto"/>
          </w:tcPr>
          <w:p w:rsidR="00DA772D" w:rsidRPr="006A2621" w:rsidRDefault="00DA772D" w:rsidP="006A2621">
            <w:pPr>
              <w:spacing w:after="0"/>
              <w:rPr>
                <w:rFonts w:ascii="Times New Roman" w:hAnsi="Times New Roman" w:cs="Times New Roman"/>
                <w:sz w:val="20"/>
                <w:szCs w:val="20"/>
              </w:rPr>
            </w:pPr>
            <w:r w:rsidRPr="006A2621">
              <w:rPr>
                <w:rFonts w:ascii="Times New Roman" w:hAnsi="Times New Roman" w:cs="Times New Roman"/>
                <w:sz w:val="20"/>
                <w:szCs w:val="20"/>
              </w:rPr>
              <w:t xml:space="preserve">Дата составления </w:t>
            </w:r>
            <w:r w:rsidR="006A2621" w:rsidRPr="006A2621">
              <w:rPr>
                <w:rFonts w:ascii="Times New Roman" w:hAnsi="Times New Roman" w:cs="Times New Roman"/>
                <w:sz w:val="20"/>
                <w:szCs w:val="20"/>
              </w:rPr>
              <w:t xml:space="preserve">Отчета </w:t>
            </w:r>
            <w:r w:rsidRPr="006A2621">
              <w:rPr>
                <w:rFonts w:ascii="Times New Roman" w:hAnsi="Times New Roman" w:cs="Times New Roman"/>
                <w:sz w:val="20"/>
                <w:szCs w:val="20"/>
              </w:rPr>
              <w:t>об итогах голосования на общем собрании:</w:t>
            </w:r>
          </w:p>
        </w:tc>
        <w:tc>
          <w:tcPr>
            <w:tcW w:w="4535" w:type="dxa"/>
            <w:shd w:val="clear" w:color="auto" w:fill="auto"/>
          </w:tcPr>
          <w:p w:rsidR="00DA772D" w:rsidRPr="006A2621" w:rsidRDefault="00DA772D" w:rsidP="00DA772D">
            <w:pPr>
              <w:spacing w:after="0"/>
              <w:rPr>
                <w:rFonts w:ascii="Times New Roman" w:hAnsi="Times New Roman" w:cs="Times New Roman"/>
                <w:sz w:val="20"/>
                <w:szCs w:val="20"/>
              </w:rPr>
            </w:pPr>
            <w:r w:rsidRPr="006A2621">
              <w:rPr>
                <w:rFonts w:ascii="Times New Roman" w:hAnsi="Times New Roman" w:cs="Times New Roman"/>
                <w:sz w:val="20"/>
                <w:szCs w:val="20"/>
              </w:rPr>
              <w:t>28 февраля 2025 года</w:t>
            </w:r>
          </w:p>
        </w:tc>
      </w:tr>
    </w:tbl>
    <w:p w:rsidR="00DA772D" w:rsidRPr="006A2621" w:rsidRDefault="00DA772D" w:rsidP="00DA772D">
      <w:pPr>
        <w:spacing w:after="0"/>
        <w:ind w:left="567"/>
        <w:jc w:val="both"/>
        <w:rPr>
          <w:rFonts w:ascii="Times New Roman" w:hAnsi="Times New Roman" w:cs="Times New Roman"/>
          <w:sz w:val="10"/>
          <w:szCs w:val="10"/>
        </w:rPr>
      </w:pP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 xml:space="preserve">В </w:t>
      </w:r>
      <w:r w:rsidR="006A2621" w:rsidRPr="006A2621">
        <w:rPr>
          <w:rFonts w:ascii="Times New Roman" w:hAnsi="Times New Roman" w:cs="Times New Roman"/>
          <w:sz w:val="20"/>
          <w:szCs w:val="20"/>
        </w:rPr>
        <w:t xml:space="preserve">Отчете </w:t>
      </w:r>
      <w:r w:rsidRPr="006A2621">
        <w:rPr>
          <w:rFonts w:ascii="Times New Roman" w:hAnsi="Times New Roman" w:cs="Times New Roman"/>
          <w:sz w:val="20"/>
          <w:szCs w:val="20"/>
        </w:rPr>
        <w:t>об итогах голосования на общем собрании используется следующий термин: Положение - Положение Банка России "Об общих собраниях акционеров" от 16.11.2018 г. № 660-П.</w:t>
      </w:r>
    </w:p>
    <w:p w:rsidR="00DA772D" w:rsidRPr="006A2621" w:rsidRDefault="00DA772D" w:rsidP="00DA772D">
      <w:pPr>
        <w:spacing w:after="0"/>
        <w:ind w:left="567"/>
        <w:jc w:val="both"/>
        <w:rPr>
          <w:rFonts w:ascii="Times New Roman" w:hAnsi="Times New Roman" w:cs="Times New Roman"/>
          <w:b/>
          <w:sz w:val="10"/>
          <w:szCs w:val="10"/>
        </w:rPr>
      </w:pPr>
    </w:p>
    <w:p w:rsidR="00DA772D" w:rsidRPr="006A2621" w:rsidRDefault="00DA772D" w:rsidP="00DA772D">
      <w:pPr>
        <w:spacing w:after="0"/>
        <w:ind w:left="567"/>
        <w:jc w:val="both"/>
        <w:rPr>
          <w:rFonts w:ascii="Times New Roman" w:hAnsi="Times New Roman" w:cs="Times New Roman"/>
          <w:b/>
          <w:sz w:val="20"/>
          <w:szCs w:val="20"/>
        </w:rPr>
      </w:pPr>
      <w:r w:rsidRPr="006A2621">
        <w:rPr>
          <w:rFonts w:ascii="Times New Roman" w:hAnsi="Times New Roman" w:cs="Times New Roman"/>
          <w:b/>
          <w:sz w:val="20"/>
          <w:szCs w:val="20"/>
        </w:rPr>
        <w:t>Повестка дня общего собрания:</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 xml:space="preserve">1) О предоставлении согласия на совершение Обществом крупной сделки, заключение и подписание дополнительных соглашений к Договорам поручительств юридического лица (перечень Договоров поручительств указан в Приложении 1), заключенным с АО «Россельхозбанк» (ИНН 7725114488), в обеспечение исполнения обязательств ООО «Калужская Нива» (ИНН 4015004213), ООО «Ступинская Нива» (ИНН 5045063264) по Договорам об открытии кредитной линии, указанным в Приложении 2, в связи с изменением процентной ставки: </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«Льготная процентная ставка: В период с «01» января 2025 года по «31» декабря 2025 года процентная ставка устанавливается в размере 50% (Пятьдесят процентов) размера ключевой ставки Банка России, действующей на каждую дату начисления Кредитором процентов за пользование Кредитом по Договору. Процентная ставка рассчитывается по плавающей процентной ставке исходя из размера ключевой ставки Банка России, определяемого в соответствии с официальной информацией Банка России, опубликованной на официальном сайте Банка России, по состоянию на соответствующую дату установления процентной ставки. Установление нового размера процентной ставки производится Кредитором в случае пересмотра размера ключевой ставки Банком России в дату, следующую за датой изменения (вступления в силу) нового размера ключевой ставки Банка России.</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Коммерческая процентная ставка: Размер процентной ставки устанавливается как размер действующей ключевой ставки Банка России (плавающая составляющая), увеличенный на 5,0% (Пять процентов) годовых (далее - фиксированная надбавка). Установление нового размера процентной ставки производится Кредитором в случае пересмотра размера ключевой ставки Банком России в дату установления (вступления в силу) нового размера ключевой ставки Банка России как новый размер ключевой ставки Банка России, увеличенный на фиксированную надбавку.»</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(Перечень Договоров указан в Приложении № 1 к Протоколу).</w:t>
      </w:r>
    </w:p>
    <w:p w:rsidR="00DA772D" w:rsidRPr="006A2621" w:rsidRDefault="00DA772D" w:rsidP="00DA772D">
      <w:pPr>
        <w:spacing w:after="0"/>
        <w:ind w:left="567"/>
        <w:jc w:val="both"/>
        <w:rPr>
          <w:rFonts w:ascii="Times New Roman" w:hAnsi="Times New Roman" w:cs="Times New Roman"/>
          <w:b/>
          <w:sz w:val="10"/>
          <w:szCs w:val="10"/>
        </w:rPr>
      </w:pPr>
      <w:r w:rsidRPr="006A2621">
        <w:rPr>
          <w:rFonts w:ascii="Times New Roman" w:hAnsi="Times New Roman" w:cs="Times New Roman"/>
          <w:b/>
          <w:sz w:val="20"/>
          <w:szCs w:val="20"/>
        </w:rPr>
        <w:t xml:space="preserve"> </w:t>
      </w:r>
    </w:p>
    <w:p w:rsidR="00DA772D" w:rsidRPr="006A2621" w:rsidRDefault="00DA772D" w:rsidP="00DA772D">
      <w:pPr>
        <w:keepNext/>
        <w:spacing w:after="0"/>
        <w:ind w:left="567"/>
        <w:jc w:val="both"/>
        <w:rPr>
          <w:rFonts w:ascii="Times New Roman" w:hAnsi="Times New Roman" w:cs="Times New Roman"/>
          <w:sz w:val="20"/>
          <w:szCs w:val="20"/>
        </w:rPr>
      </w:pPr>
      <w:r w:rsidRPr="006A2621">
        <w:rPr>
          <w:rFonts w:ascii="Times New Roman" w:hAnsi="Times New Roman" w:cs="Times New Roman"/>
          <w:b/>
          <w:sz w:val="20"/>
          <w:szCs w:val="20"/>
        </w:rPr>
        <w:t>Кворум и итоги голосования по вопросу № 1 повестки дня:</w:t>
      </w:r>
    </w:p>
    <w:tbl>
      <w:tblPr>
        <w:tblW w:w="10307"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436"/>
        <w:gridCol w:w="1871"/>
      </w:tblGrid>
      <w:tr w:rsidR="00DA772D" w:rsidRPr="006A2621" w:rsidTr="003D0035">
        <w:trPr>
          <w:cantSplit/>
        </w:trPr>
        <w:tc>
          <w:tcPr>
            <w:tcW w:w="8436"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Число голосов, которыми обладали лица, включенные в список лиц, имевших право на участие в общем собрании, по данному вопросу повестки дня общего собрания</w:t>
            </w:r>
          </w:p>
        </w:tc>
        <w:tc>
          <w:tcPr>
            <w:tcW w:w="1871"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676 880 963</w:t>
            </w:r>
          </w:p>
        </w:tc>
      </w:tr>
      <w:tr w:rsidR="00DA772D" w:rsidRPr="006A2621" w:rsidTr="00D43998">
        <w:trPr>
          <w:cantSplit/>
        </w:trPr>
        <w:tc>
          <w:tcPr>
            <w:tcW w:w="8436"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 xml:space="preserve">Число голосов, приходившихся на голосующие акции общества по данному вопросу повестки дня общего собрания, определенное с учетом положений пункта 4.24 Положения </w:t>
            </w:r>
          </w:p>
        </w:tc>
        <w:tc>
          <w:tcPr>
            <w:tcW w:w="1871"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 xml:space="preserve">676 880 963 </w:t>
            </w:r>
          </w:p>
        </w:tc>
      </w:tr>
      <w:tr w:rsidR="00DA772D" w:rsidRPr="006A2621" w:rsidTr="007C7CA1">
        <w:trPr>
          <w:cantSplit/>
        </w:trPr>
        <w:tc>
          <w:tcPr>
            <w:tcW w:w="8436"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 xml:space="preserve">Число голосов, которыми обладали лица, принявшие участие в общем собрании, по данному вопросу повестки дня общего собрания </w:t>
            </w:r>
          </w:p>
        </w:tc>
        <w:tc>
          <w:tcPr>
            <w:tcW w:w="1871"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 xml:space="preserve">676 880 591  </w:t>
            </w:r>
          </w:p>
        </w:tc>
      </w:tr>
      <w:tr w:rsidR="00DA772D" w:rsidRPr="006A2621" w:rsidTr="0072253D">
        <w:trPr>
          <w:cantSplit/>
        </w:trPr>
        <w:tc>
          <w:tcPr>
            <w:tcW w:w="8436" w:type="dxa"/>
            <w:shd w:val="clear" w:color="auto" w:fill="auto"/>
          </w:tcPr>
          <w:p w:rsidR="00DA772D" w:rsidRPr="006A2621" w:rsidRDefault="00DA772D" w:rsidP="00DA772D">
            <w:pPr>
              <w:keepNext/>
              <w:spacing w:after="0"/>
              <w:rPr>
                <w:rFonts w:ascii="Times New Roman" w:hAnsi="Times New Roman" w:cs="Times New Roman"/>
                <w:b/>
                <w:sz w:val="20"/>
                <w:szCs w:val="20"/>
              </w:rPr>
            </w:pPr>
            <w:r w:rsidRPr="006A2621">
              <w:rPr>
                <w:rFonts w:ascii="Times New Roman" w:hAnsi="Times New Roman" w:cs="Times New Roman"/>
                <w:sz w:val="20"/>
                <w:szCs w:val="20"/>
              </w:rPr>
              <w:t>КВОРУМ по данному вопросу повестки дня</w:t>
            </w:r>
            <w:r w:rsidRPr="006A2621">
              <w:rPr>
                <w:rFonts w:ascii="Times New Roman" w:hAnsi="Times New Roman" w:cs="Times New Roman"/>
                <w:b/>
                <w:sz w:val="20"/>
                <w:szCs w:val="20"/>
              </w:rPr>
              <w:t xml:space="preserve"> имелся</w:t>
            </w:r>
          </w:p>
        </w:tc>
        <w:tc>
          <w:tcPr>
            <w:tcW w:w="1871" w:type="dxa"/>
            <w:shd w:val="clear" w:color="auto" w:fill="auto"/>
          </w:tcPr>
          <w:p w:rsidR="00DA772D" w:rsidRPr="006A2621" w:rsidRDefault="00DA772D" w:rsidP="00DA772D">
            <w:pPr>
              <w:keepNext/>
              <w:spacing w:after="0"/>
              <w:jc w:val="right"/>
              <w:rPr>
                <w:rFonts w:ascii="Times New Roman" w:hAnsi="Times New Roman" w:cs="Times New Roman"/>
                <w:b/>
                <w:sz w:val="20"/>
                <w:szCs w:val="20"/>
              </w:rPr>
            </w:pPr>
            <w:r w:rsidRPr="006A2621">
              <w:rPr>
                <w:rFonts w:ascii="Times New Roman" w:hAnsi="Times New Roman" w:cs="Times New Roman"/>
                <w:b/>
                <w:sz w:val="20"/>
                <w:szCs w:val="20"/>
              </w:rPr>
              <w:t>99.9999%</w:t>
            </w:r>
          </w:p>
        </w:tc>
      </w:tr>
    </w:tbl>
    <w:p w:rsidR="00DA772D" w:rsidRPr="006A2621" w:rsidRDefault="00DA772D" w:rsidP="00DA772D">
      <w:pPr>
        <w:spacing w:after="0"/>
        <w:ind w:left="567"/>
        <w:rPr>
          <w:rFonts w:ascii="Times New Roman" w:hAnsi="Times New Roman" w:cs="Times New Roman"/>
          <w:sz w:val="20"/>
          <w:szCs w:val="20"/>
        </w:rPr>
      </w:pPr>
      <w:r w:rsidRPr="006A2621">
        <w:rPr>
          <w:rFonts w:ascii="Times New Roman" w:hAnsi="Times New Roman" w:cs="Times New Roman"/>
          <w:sz w:val="20"/>
          <w:szCs w:val="20"/>
        </w:rPr>
        <w:t xml:space="preserve"> </w:t>
      </w:r>
    </w:p>
    <w:tbl>
      <w:tblPr>
        <w:tblW w:w="10306"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358"/>
        <w:gridCol w:w="4660"/>
        <w:gridCol w:w="3288"/>
      </w:tblGrid>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lastRenderedPageBreak/>
              <w:t>Варианты голосования</w:t>
            </w:r>
          </w:p>
        </w:tc>
        <w:tc>
          <w:tcPr>
            <w:tcW w:w="4660" w:type="dxa"/>
            <w:shd w:val="clear" w:color="auto" w:fill="auto"/>
          </w:tcPr>
          <w:p w:rsidR="00DA772D" w:rsidRPr="006A2621" w:rsidRDefault="00DA772D" w:rsidP="00DA772D">
            <w:pPr>
              <w:keepNext/>
              <w:spacing w:after="0"/>
              <w:jc w:val="center"/>
              <w:rPr>
                <w:rFonts w:ascii="Times New Roman" w:hAnsi="Times New Roman" w:cs="Times New Roman"/>
                <w:sz w:val="20"/>
                <w:szCs w:val="20"/>
              </w:rPr>
            </w:pPr>
            <w:r w:rsidRPr="006A2621">
              <w:rPr>
                <w:rFonts w:ascii="Times New Roman" w:hAnsi="Times New Roman" w:cs="Times New Roman"/>
                <w:sz w:val="20"/>
                <w:szCs w:val="20"/>
              </w:rPr>
              <w:t>Число голосов, отданных за каждый из вариантов голосования</w:t>
            </w:r>
          </w:p>
        </w:tc>
        <w:tc>
          <w:tcPr>
            <w:tcW w:w="3288" w:type="dxa"/>
            <w:shd w:val="clear" w:color="auto" w:fill="auto"/>
          </w:tcPr>
          <w:p w:rsidR="00DA772D" w:rsidRPr="006A2621" w:rsidRDefault="00DA772D" w:rsidP="00DA772D">
            <w:pPr>
              <w:keepNext/>
              <w:spacing w:after="0"/>
              <w:jc w:val="center"/>
              <w:rPr>
                <w:rFonts w:ascii="Times New Roman" w:hAnsi="Times New Roman" w:cs="Times New Roman"/>
                <w:sz w:val="20"/>
                <w:szCs w:val="20"/>
              </w:rPr>
            </w:pPr>
            <w:r w:rsidRPr="006A2621">
              <w:rPr>
                <w:rFonts w:ascii="Times New Roman" w:hAnsi="Times New Roman" w:cs="Times New Roman"/>
                <w:sz w:val="20"/>
                <w:szCs w:val="20"/>
              </w:rPr>
              <w:t>% от принявших участие в собрании</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b/>
                <w:sz w:val="20"/>
                <w:szCs w:val="20"/>
              </w:rPr>
            </w:pPr>
            <w:r w:rsidRPr="006A2621">
              <w:rPr>
                <w:rFonts w:ascii="Times New Roman" w:hAnsi="Times New Roman" w:cs="Times New Roman"/>
                <w:b/>
                <w:sz w:val="20"/>
                <w:szCs w:val="20"/>
              </w:rPr>
              <w:t>"ЗА"</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b/>
                <w:sz w:val="20"/>
                <w:szCs w:val="20"/>
              </w:rPr>
            </w:pPr>
            <w:r w:rsidRPr="006A2621">
              <w:rPr>
                <w:rFonts w:ascii="Times New Roman" w:hAnsi="Times New Roman" w:cs="Times New Roman"/>
                <w:b/>
                <w:sz w:val="20"/>
                <w:szCs w:val="20"/>
              </w:rPr>
              <w:t>676 880 591</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b/>
                <w:sz w:val="20"/>
                <w:szCs w:val="20"/>
              </w:rPr>
            </w:pPr>
            <w:r w:rsidRPr="006A2621">
              <w:rPr>
                <w:rFonts w:ascii="Times New Roman" w:hAnsi="Times New Roman" w:cs="Times New Roman"/>
                <w:b/>
                <w:sz w:val="20"/>
                <w:szCs w:val="20"/>
              </w:rPr>
              <w:t>100.0000</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"ПРОТИВ"</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0.0000</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"ВОЗДЕРЖАЛСЯ"</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0.0000</w:t>
            </w:r>
          </w:p>
        </w:tc>
      </w:tr>
      <w:tr w:rsidR="00DA772D" w:rsidRPr="006A2621" w:rsidTr="00850AEE">
        <w:trPr>
          <w:cantSplit/>
        </w:trPr>
        <w:tc>
          <w:tcPr>
            <w:tcW w:w="10306" w:type="dxa"/>
            <w:gridSpan w:val="3"/>
            <w:shd w:val="clear" w:color="auto" w:fill="auto"/>
          </w:tcPr>
          <w:p w:rsidR="00DA772D" w:rsidRPr="006A2621" w:rsidRDefault="00DA772D" w:rsidP="00DA772D">
            <w:pPr>
              <w:keepNext/>
              <w:spacing w:after="0"/>
              <w:jc w:val="center"/>
              <w:rPr>
                <w:rFonts w:ascii="Times New Roman" w:hAnsi="Times New Roman" w:cs="Times New Roman"/>
                <w:sz w:val="20"/>
                <w:szCs w:val="20"/>
              </w:rPr>
            </w:pPr>
            <w:r w:rsidRPr="006A2621">
              <w:rPr>
                <w:rFonts w:ascii="Times New Roman" w:hAnsi="Times New Roman" w:cs="Times New Roman"/>
                <w:sz w:val="20"/>
                <w:szCs w:val="20"/>
              </w:rPr>
              <w:t>Число голосов, которые не подсчитывались в связи с признанием бюллетеней недействительными или по иным основаниям, предусмотренным Положением</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"Недействительные"</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0.0000</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sz w:val="20"/>
                <w:szCs w:val="20"/>
              </w:rPr>
            </w:pPr>
            <w:r w:rsidRPr="006A2621">
              <w:rPr>
                <w:rFonts w:ascii="Times New Roman" w:hAnsi="Times New Roman" w:cs="Times New Roman"/>
                <w:sz w:val="20"/>
                <w:szCs w:val="20"/>
              </w:rPr>
              <w:t>"По иным основаниям"</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sz w:val="20"/>
                <w:szCs w:val="20"/>
              </w:rPr>
            </w:pPr>
            <w:r w:rsidRPr="006A2621">
              <w:rPr>
                <w:rFonts w:ascii="Times New Roman" w:hAnsi="Times New Roman" w:cs="Times New Roman"/>
                <w:sz w:val="20"/>
                <w:szCs w:val="20"/>
              </w:rPr>
              <w:t>0.0000</w:t>
            </w:r>
          </w:p>
        </w:tc>
      </w:tr>
      <w:tr w:rsidR="00DA772D" w:rsidRPr="006A2621" w:rsidTr="00DA772D">
        <w:trPr>
          <w:cantSplit/>
        </w:trPr>
        <w:tc>
          <w:tcPr>
            <w:tcW w:w="2358" w:type="dxa"/>
            <w:shd w:val="clear" w:color="auto" w:fill="auto"/>
          </w:tcPr>
          <w:p w:rsidR="00DA772D" w:rsidRPr="006A2621" w:rsidRDefault="00DA772D" w:rsidP="00DA772D">
            <w:pPr>
              <w:keepNext/>
              <w:spacing w:after="0"/>
              <w:rPr>
                <w:rFonts w:ascii="Times New Roman" w:hAnsi="Times New Roman" w:cs="Times New Roman"/>
                <w:b/>
                <w:sz w:val="20"/>
                <w:szCs w:val="20"/>
              </w:rPr>
            </w:pPr>
            <w:r w:rsidRPr="006A2621">
              <w:rPr>
                <w:rFonts w:ascii="Times New Roman" w:hAnsi="Times New Roman" w:cs="Times New Roman"/>
                <w:b/>
                <w:sz w:val="20"/>
                <w:szCs w:val="20"/>
              </w:rPr>
              <w:t>ИТОГО:</w:t>
            </w:r>
          </w:p>
        </w:tc>
        <w:tc>
          <w:tcPr>
            <w:tcW w:w="4660" w:type="dxa"/>
            <w:shd w:val="clear" w:color="auto" w:fill="auto"/>
          </w:tcPr>
          <w:p w:rsidR="00DA772D" w:rsidRPr="006A2621" w:rsidRDefault="00DA772D" w:rsidP="00DA772D">
            <w:pPr>
              <w:keepNext/>
              <w:spacing w:after="0"/>
              <w:jc w:val="right"/>
              <w:rPr>
                <w:rFonts w:ascii="Times New Roman" w:hAnsi="Times New Roman" w:cs="Times New Roman"/>
                <w:b/>
                <w:sz w:val="20"/>
                <w:szCs w:val="20"/>
              </w:rPr>
            </w:pPr>
            <w:r w:rsidRPr="006A2621">
              <w:rPr>
                <w:rFonts w:ascii="Times New Roman" w:hAnsi="Times New Roman" w:cs="Times New Roman"/>
                <w:b/>
                <w:sz w:val="20"/>
                <w:szCs w:val="20"/>
              </w:rPr>
              <w:t>676 880 591</w:t>
            </w:r>
          </w:p>
        </w:tc>
        <w:tc>
          <w:tcPr>
            <w:tcW w:w="3288" w:type="dxa"/>
            <w:shd w:val="clear" w:color="auto" w:fill="auto"/>
          </w:tcPr>
          <w:p w:rsidR="00DA772D" w:rsidRPr="006A2621" w:rsidRDefault="00DA772D" w:rsidP="00DA772D">
            <w:pPr>
              <w:keepNext/>
              <w:spacing w:after="0"/>
              <w:jc w:val="right"/>
              <w:rPr>
                <w:rFonts w:ascii="Times New Roman" w:hAnsi="Times New Roman" w:cs="Times New Roman"/>
                <w:b/>
                <w:sz w:val="20"/>
                <w:szCs w:val="20"/>
              </w:rPr>
            </w:pPr>
            <w:r w:rsidRPr="006A2621">
              <w:rPr>
                <w:rFonts w:ascii="Times New Roman" w:hAnsi="Times New Roman" w:cs="Times New Roman"/>
                <w:b/>
                <w:sz w:val="20"/>
                <w:szCs w:val="20"/>
              </w:rPr>
              <w:t>100.0000</w:t>
            </w:r>
          </w:p>
        </w:tc>
      </w:tr>
    </w:tbl>
    <w:p w:rsidR="00DA772D" w:rsidRPr="006A2621" w:rsidRDefault="00DA772D" w:rsidP="00DA772D">
      <w:pPr>
        <w:spacing w:after="0"/>
        <w:ind w:left="567"/>
        <w:jc w:val="both"/>
        <w:rPr>
          <w:rFonts w:ascii="Times New Roman" w:hAnsi="Times New Roman" w:cs="Times New Roman"/>
          <w:b/>
          <w:sz w:val="20"/>
          <w:szCs w:val="20"/>
        </w:rPr>
      </w:pPr>
    </w:p>
    <w:p w:rsidR="006A2621" w:rsidRPr="006A2621" w:rsidRDefault="006A2621" w:rsidP="006A2621">
      <w:pPr>
        <w:spacing w:after="0" w:line="240" w:lineRule="atLeast"/>
        <w:ind w:left="567"/>
        <w:jc w:val="both"/>
        <w:rPr>
          <w:rFonts w:ascii="Times New Roman" w:hAnsi="Times New Roman" w:cs="Times New Roman"/>
          <w:b/>
          <w:sz w:val="20"/>
          <w:szCs w:val="20"/>
        </w:rPr>
      </w:pPr>
      <w:r w:rsidRPr="006A2621">
        <w:rPr>
          <w:rFonts w:ascii="Times New Roman" w:hAnsi="Times New Roman" w:cs="Times New Roman"/>
          <w:b/>
          <w:sz w:val="20"/>
          <w:szCs w:val="20"/>
        </w:rPr>
        <w:t xml:space="preserve">Решения, принятые по вопросу повестки дня внеочередного общего собрания акционеров Акционерного общества "Московско-Медынское агропромышленное предприятие"  </w:t>
      </w:r>
      <w:r w:rsidRPr="006A2621">
        <w:rPr>
          <w:rFonts w:ascii="Times New Roman" w:hAnsi="Times New Roman" w:cs="Times New Roman"/>
          <w:b/>
          <w:sz w:val="20"/>
          <w:szCs w:val="20"/>
        </w:rPr>
        <w:t>28</w:t>
      </w:r>
      <w:r w:rsidRPr="006A2621">
        <w:rPr>
          <w:rFonts w:ascii="Times New Roman" w:hAnsi="Times New Roman" w:cs="Times New Roman"/>
          <w:b/>
          <w:sz w:val="20"/>
          <w:szCs w:val="20"/>
        </w:rPr>
        <w:t>.0</w:t>
      </w:r>
      <w:r w:rsidRPr="006A2621">
        <w:rPr>
          <w:rFonts w:ascii="Times New Roman" w:hAnsi="Times New Roman" w:cs="Times New Roman"/>
          <w:b/>
          <w:sz w:val="20"/>
          <w:szCs w:val="20"/>
        </w:rPr>
        <w:t>2</w:t>
      </w:r>
      <w:r w:rsidRPr="006A2621">
        <w:rPr>
          <w:rFonts w:ascii="Times New Roman" w:hAnsi="Times New Roman" w:cs="Times New Roman"/>
          <w:b/>
          <w:sz w:val="20"/>
          <w:szCs w:val="20"/>
        </w:rPr>
        <w:t>.2025 года</w:t>
      </w:r>
      <w:r w:rsidRPr="006A2621">
        <w:rPr>
          <w:rFonts w:ascii="Times New Roman" w:hAnsi="Times New Roman" w:cs="Times New Roman"/>
          <w:b/>
          <w:sz w:val="20"/>
          <w:szCs w:val="20"/>
        </w:rPr>
        <w:t>:</w:t>
      </w:r>
    </w:p>
    <w:p w:rsidR="006A2621" w:rsidRPr="006A2621" w:rsidRDefault="006A2621" w:rsidP="006A2621">
      <w:pPr>
        <w:spacing w:after="0"/>
        <w:ind w:left="567"/>
        <w:jc w:val="both"/>
        <w:rPr>
          <w:rFonts w:ascii="Times New Roman" w:hAnsi="Times New Roman" w:cs="Times New Roman"/>
          <w:b/>
          <w:sz w:val="20"/>
          <w:szCs w:val="20"/>
        </w:rPr>
      </w:pPr>
      <w:r w:rsidRPr="006A2621">
        <w:rPr>
          <w:rFonts w:ascii="Times New Roman" w:hAnsi="Times New Roman" w:cs="Times New Roman"/>
          <w:b/>
          <w:sz w:val="20"/>
          <w:szCs w:val="20"/>
        </w:rPr>
        <w:t>Вопрос 1. РЕШЕНИЕ: </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 xml:space="preserve">Предоставить согласие на совершение Обществом крупной сделки, заключение и подписание дополнительных соглашений к Договорам поручительств юридического лица (перечень Договоров поручительств указан в Приложении 1), заключенным с АО «Россельхозбанк» (ИНН 7725114488), в обеспечение исполнения обязательств ООО «Калужская Нива» (ИНН 4015004213), ООО «Ступинская Нива» (ИНН 5045063264) по Договорам об открытии кредитной линии, указанным в Приложении 2, в связи с изменением процентной ставки: </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«Льготная процентная ставка: В период с «01» января 2025 года по «31» декабря 2025 года процентная ставка устанавливается в размере 50% (Пятьдесят процентов) размера ключевой ставки Банка России, действующей на каждую дату начисления Кредитором процентов за пользование Кредитом по Договору. Процентная ставка рассчитывается по плавающей процентной ставке исходя из размера ключевой ставки Банка России, определяемого в соответствии с официальной информацией Банка России, опубликованной на официальном сайте Банка России, по состоянию на соответствующую дату установления процентной ставки. Установление нового размера процентной ставки производится Кредитором в случае пересмотра размера ключевой ставки Банком России в дату, следующую за датой изменения (вступления в силу) нового размера ключевой ставки Банка России.</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Коммерческая процентная ставка: Размер процентной ставки устанавливается как размер действующей ключевой ставки Банка России (плавающая составляющая), увеличенный на 5,0% (Пять процентов) годовых (далее - фиксированная надбавка). Установление нового размера процентной ставки производится Кредитором в случае пересмотра размера ключевой ставки Банком России в дату установления (вступления в силу) нового размера ключевой ставки Банка России как новый размер ключевой ставки Банка России, увеличенный на фиксированную надбавку.»</w:t>
      </w:r>
    </w:p>
    <w:p w:rsidR="00DA772D" w:rsidRPr="006A2621" w:rsidRDefault="00DA772D" w:rsidP="00DA772D">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(Перечень Договоров указан в Приложении № 1 к Протоколу).</w:t>
      </w:r>
    </w:p>
    <w:p w:rsidR="00DA772D" w:rsidRPr="006A2621" w:rsidRDefault="00DA772D" w:rsidP="00DA772D">
      <w:pPr>
        <w:spacing w:after="0"/>
        <w:ind w:left="567"/>
        <w:jc w:val="both"/>
        <w:rPr>
          <w:rFonts w:ascii="Times New Roman" w:hAnsi="Times New Roman" w:cs="Times New Roman"/>
          <w:b/>
          <w:sz w:val="20"/>
          <w:szCs w:val="20"/>
        </w:rPr>
      </w:pPr>
    </w:p>
    <w:p w:rsidR="006A2621" w:rsidRPr="006A2621" w:rsidRDefault="006A2621" w:rsidP="006A2621">
      <w:pPr>
        <w:spacing w:after="0"/>
        <w:ind w:left="567"/>
        <w:jc w:val="both"/>
        <w:rPr>
          <w:rFonts w:ascii="Times New Roman" w:hAnsi="Times New Roman" w:cs="Times New Roman"/>
          <w:sz w:val="20"/>
          <w:szCs w:val="20"/>
        </w:rPr>
      </w:pPr>
      <w:r w:rsidRPr="006A2621">
        <w:rPr>
          <w:rFonts w:ascii="Times New Roman" w:hAnsi="Times New Roman" w:cs="Times New Roman"/>
          <w:sz w:val="20"/>
          <w:szCs w:val="20"/>
        </w:rPr>
        <w:t xml:space="preserve">Председатель общего собрания                  Бричева Л.И.                           Секретарь                             Герман А.Д.    </w:t>
      </w:r>
    </w:p>
    <w:p w:rsidR="006A2621" w:rsidRPr="006A2621" w:rsidRDefault="006A2621" w:rsidP="006A2621">
      <w:pPr>
        <w:spacing w:line="120" w:lineRule="atLeast"/>
        <w:ind w:firstLine="709"/>
        <w:jc w:val="right"/>
        <w:rPr>
          <w:rFonts w:ascii="Times New Roman" w:hAnsi="Times New Roman" w:cs="Times New Roman"/>
          <w:b/>
          <w:bCs/>
          <w:sz w:val="20"/>
          <w:szCs w:val="20"/>
        </w:rPr>
      </w:pPr>
    </w:p>
    <w:p w:rsidR="006A2621" w:rsidRPr="00DA772D" w:rsidRDefault="006A2621" w:rsidP="00DA772D">
      <w:pPr>
        <w:spacing w:after="0"/>
        <w:ind w:left="567"/>
        <w:jc w:val="both"/>
        <w:rPr>
          <w:rFonts w:ascii="Tahoma" w:hAnsi="Tahoma" w:cs="Tahoma"/>
          <w:b/>
          <w:sz w:val="20"/>
        </w:rPr>
      </w:pPr>
      <w:bookmarkStart w:id="0" w:name="_GoBack"/>
      <w:bookmarkEnd w:id="0"/>
    </w:p>
    <w:sectPr w:rsidR="006A2621" w:rsidRPr="00DA772D" w:rsidSect="006A2621">
      <w:pgSz w:w="11906" w:h="16838"/>
      <w:pgMar w:top="567" w:right="567" w:bottom="567" w:left="567" w:header="708"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772D" w:rsidRDefault="00DA772D" w:rsidP="00DA772D">
      <w:pPr>
        <w:spacing w:after="0" w:line="240" w:lineRule="auto"/>
      </w:pPr>
      <w:r>
        <w:separator/>
      </w:r>
    </w:p>
  </w:endnote>
  <w:endnote w:type="continuationSeparator" w:id="0">
    <w:p w:rsidR="00DA772D" w:rsidRDefault="00DA772D" w:rsidP="00DA7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772D" w:rsidRDefault="00DA772D" w:rsidP="00DA772D">
      <w:pPr>
        <w:spacing w:after="0" w:line="240" w:lineRule="auto"/>
      </w:pPr>
      <w:r>
        <w:separator/>
      </w:r>
    </w:p>
  </w:footnote>
  <w:footnote w:type="continuationSeparator" w:id="0">
    <w:p w:rsidR="00DA772D" w:rsidRDefault="00DA772D" w:rsidP="00DA77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72D"/>
    <w:rsid w:val="00284EA8"/>
    <w:rsid w:val="00491248"/>
    <w:rsid w:val="006A2621"/>
    <w:rsid w:val="00DA77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9F601"/>
  <w15:chartTrackingRefBased/>
  <w15:docId w15:val="{ADCBD921-2EEC-457E-9BE7-C59996E3E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772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A772D"/>
  </w:style>
  <w:style w:type="paragraph" w:styleId="a5">
    <w:name w:val="footer"/>
    <w:basedOn w:val="a"/>
    <w:link w:val="a6"/>
    <w:uiPriority w:val="99"/>
    <w:unhideWhenUsed/>
    <w:rsid w:val="00DA772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A772D"/>
  </w:style>
  <w:style w:type="paragraph" w:styleId="a7">
    <w:name w:val="Balloon Text"/>
    <w:basedOn w:val="a"/>
    <w:link w:val="a8"/>
    <w:uiPriority w:val="99"/>
    <w:semiHidden/>
    <w:unhideWhenUsed/>
    <w:rsid w:val="00DA772D"/>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A772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1018</Words>
  <Characters>5805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Овчинникова Юлия</dc:creator>
  <cp:keywords/>
  <dc:description/>
  <cp:lastModifiedBy>Овчинникова Юлия</cp:lastModifiedBy>
  <cp:revision>2</cp:revision>
  <cp:lastPrinted>2025-02-21T10:02:00Z</cp:lastPrinted>
  <dcterms:created xsi:type="dcterms:W3CDTF">2025-02-21T10:15:00Z</dcterms:created>
  <dcterms:modified xsi:type="dcterms:W3CDTF">2025-02-21T10:15:00Z</dcterms:modified>
</cp:coreProperties>
</file>